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10" w:rsidRDefault="00312210" w:rsidP="00312210">
      <w:pPr>
        <w:pStyle w:val="Heading1"/>
        <w:spacing w:before="0"/>
      </w:pPr>
    </w:p>
    <w:p w:rsidR="003E6545" w:rsidRPr="003E6545" w:rsidRDefault="003E6545" w:rsidP="003E6545">
      <w:pPr>
        <w:rPr>
          <w:rFonts w:ascii="Calibri" w:eastAsiaTheme="majorEastAsia" w:hAnsi="Calibri" w:cstheme="majorBidi"/>
          <w:b/>
          <w:bCs/>
          <w:color w:val="0046AD"/>
          <w:sz w:val="32"/>
          <w:szCs w:val="32"/>
        </w:rPr>
      </w:pPr>
      <w:r>
        <w:rPr>
          <w:rFonts w:ascii="Calibri" w:eastAsiaTheme="majorEastAsia" w:hAnsi="Calibri" w:cstheme="majorBidi"/>
          <w:b/>
          <w:bCs/>
          <w:color w:val="0046AD"/>
          <w:sz w:val="32"/>
          <w:szCs w:val="32"/>
        </w:rPr>
        <w:t>Protecting Your Members’ Data</w:t>
      </w:r>
    </w:p>
    <w:p w:rsidR="003E6545" w:rsidRPr="003E6545" w:rsidRDefault="003E6545" w:rsidP="003E6545">
      <w:pPr>
        <w:rPr>
          <w:rFonts w:ascii="Calibri" w:hAnsi="Calibri" w:cs="Calibri"/>
          <w:color w:val="auto"/>
          <w:szCs w:val="24"/>
        </w:rPr>
      </w:pPr>
      <w:r w:rsidRPr="003E6545">
        <w:rPr>
          <w:rFonts w:ascii="Calibri" w:hAnsi="Calibri" w:cs="Calibri"/>
          <w:color w:val="auto"/>
          <w:szCs w:val="24"/>
        </w:rPr>
        <w:t xml:space="preserve">The protection of member data is paramount; this needs to be at the forefront of all your activities as a Section or Student Chapter. </w:t>
      </w:r>
    </w:p>
    <w:p w:rsidR="003E6545" w:rsidRPr="003E6545" w:rsidRDefault="003E6545" w:rsidP="003E6545">
      <w:pPr>
        <w:pStyle w:val="Heading2"/>
        <w:rPr>
          <w:rFonts w:ascii="Calibri" w:hAnsi="Calibri" w:cs="Calibri"/>
          <w:color w:val="auto"/>
          <w:sz w:val="24"/>
          <w:szCs w:val="24"/>
        </w:rPr>
      </w:pPr>
      <w:r w:rsidRPr="003E6545">
        <w:rPr>
          <w:rFonts w:ascii="Calibri" w:hAnsi="Calibri" w:cs="Calibri"/>
          <w:color w:val="auto"/>
          <w:sz w:val="24"/>
          <w:szCs w:val="24"/>
        </w:rPr>
        <w:t>How to Protect Members</w:t>
      </w:r>
    </w:p>
    <w:p w:rsidR="003E6545" w:rsidRPr="003E6545" w:rsidRDefault="003E6545" w:rsidP="003E6545">
      <w:pPr>
        <w:pStyle w:val="ListParagraph"/>
        <w:numPr>
          <w:ilvl w:val="0"/>
          <w:numId w:val="4"/>
        </w:numPr>
        <w:rPr>
          <w:rFonts w:ascii="Calibri" w:hAnsi="Calibri" w:cs="Calibri"/>
          <w:sz w:val="24"/>
          <w:szCs w:val="24"/>
        </w:rPr>
      </w:pPr>
      <w:r w:rsidRPr="003E6545">
        <w:rPr>
          <w:rFonts w:ascii="Calibri" w:hAnsi="Calibri" w:cs="Calibri"/>
          <w:sz w:val="24"/>
          <w:szCs w:val="24"/>
        </w:rPr>
        <w:t xml:space="preserve">Do not maintain SPE Membership Rosters.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We provide these to you via </w:t>
      </w:r>
      <w:hyperlink r:id="rId7" w:history="1">
        <w:r w:rsidRPr="003E6545">
          <w:rPr>
            <w:rStyle w:val="Hyperlink"/>
            <w:rFonts w:ascii="Calibri" w:hAnsi="Calibri" w:cs="Calibri"/>
            <w:color w:val="0070C0"/>
            <w:sz w:val="24"/>
            <w:szCs w:val="24"/>
          </w:rPr>
          <w:t>Membership Builder</w:t>
        </w:r>
      </w:hyperlink>
      <w:r w:rsidRPr="003E6545">
        <w:rPr>
          <w:rFonts w:ascii="Calibri" w:hAnsi="Calibri" w:cs="Calibri"/>
          <w:sz w:val="24"/>
          <w:szCs w:val="24"/>
        </w:rPr>
        <w:t xml:space="preserve">, and they are updated daily.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It is against policy for Sections and Student Chapters to maintain membership rosters.  </w:t>
      </w:r>
    </w:p>
    <w:p w:rsidR="003E6545" w:rsidRPr="003E6545" w:rsidRDefault="003E6545" w:rsidP="003E6545">
      <w:pPr>
        <w:pStyle w:val="ListParagraph"/>
        <w:numPr>
          <w:ilvl w:val="2"/>
          <w:numId w:val="4"/>
        </w:numPr>
        <w:rPr>
          <w:rFonts w:ascii="Calibri" w:hAnsi="Calibri" w:cs="Calibri"/>
          <w:sz w:val="24"/>
          <w:szCs w:val="24"/>
        </w:rPr>
      </w:pPr>
      <w:r w:rsidRPr="003E6545">
        <w:rPr>
          <w:rFonts w:ascii="Calibri" w:hAnsi="Calibri" w:cs="Calibri"/>
          <w:sz w:val="24"/>
          <w:szCs w:val="24"/>
        </w:rPr>
        <w:t xml:space="preserve">The maintenance and time required to maintain these at a Section or Student Chapter level is near impossible in a volunteer capacity. </w:t>
      </w:r>
    </w:p>
    <w:p w:rsidR="003E6545" w:rsidRPr="003E6545" w:rsidRDefault="003E6545" w:rsidP="003E6545">
      <w:pPr>
        <w:pStyle w:val="ListParagraph"/>
        <w:numPr>
          <w:ilvl w:val="2"/>
          <w:numId w:val="4"/>
        </w:numPr>
        <w:rPr>
          <w:rFonts w:ascii="Calibri" w:hAnsi="Calibri" w:cs="Calibri"/>
          <w:sz w:val="24"/>
          <w:szCs w:val="24"/>
        </w:rPr>
      </w:pPr>
      <w:r w:rsidRPr="003E6545">
        <w:rPr>
          <w:rFonts w:ascii="Calibri" w:hAnsi="Calibri" w:cs="Calibri"/>
          <w:sz w:val="24"/>
          <w:szCs w:val="24"/>
        </w:rPr>
        <w:t xml:space="preserve">Members change information frequently, and they have the right to be forgotten. Maintaining lists in Excel do not allow for real time edits or deletions.  </w:t>
      </w:r>
    </w:p>
    <w:p w:rsidR="003E6545" w:rsidRPr="003E6545" w:rsidRDefault="003E6545" w:rsidP="003E6545">
      <w:pPr>
        <w:pStyle w:val="ListParagraph"/>
        <w:numPr>
          <w:ilvl w:val="2"/>
          <w:numId w:val="4"/>
        </w:numPr>
        <w:rPr>
          <w:rFonts w:ascii="Calibri" w:hAnsi="Calibri" w:cs="Calibri"/>
          <w:sz w:val="24"/>
          <w:szCs w:val="24"/>
        </w:rPr>
      </w:pPr>
      <w:r w:rsidRPr="003E6545">
        <w:rPr>
          <w:rFonts w:ascii="Calibri" w:hAnsi="Calibri" w:cs="Calibri"/>
          <w:sz w:val="24"/>
          <w:szCs w:val="24"/>
        </w:rPr>
        <w:t xml:space="preserve">Members are free to move into and out of your Section. </w:t>
      </w:r>
    </w:p>
    <w:p w:rsidR="003E6545" w:rsidRPr="003E6545" w:rsidRDefault="003E6545" w:rsidP="003E6545">
      <w:pPr>
        <w:pStyle w:val="ListParagraph"/>
        <w:numPr>
          <w:ilvl w:val="2"/>
          <w:numId w:val="4"/>
        </w:numPr>
        <w:rPr>
          <w:rFonts w:ascii="Calibri" w:hAnsi="Calibri" w:cs="Calibri"/>
          <w:sz w:val="24"/>
          <w:szCs w:val="24"/>
        </w:rPr>
      </w:pPr>
      <w:r w:rsidRPr="003E6545">
        <w:rPr>
          <w:rFonts w:ascii="Calibri" w:hAnsi="Calibri" w:cs="Calibri"/>
          <w:sz w:val="24"/>
          <w:szCs w:val="24"/>
        </w:rPr>
        <w:t xml:space="preserve">Members exit the industry and membership is no longer relevant for them; we need to respect that decision. </w:t>
      </w:r>
    </w:p>
    <w:p w:rsidR="003E6545" w:rsidRPr="003E6545" w:rsidRDefault="003E6545" w:rsidP="003E6545">
      <w:pPr>
        <w:pStyle w:val="ListParagraph"/>
        <w:numPr>
          <w:ilvl w:val="0"/>
          <w:numId w:val="4"/>
        </w:numPr>
        <w:rPr>
          <w:rFonts w:ascii="Calibri" w:hAnsi="Calibri" w:cs="Calibri"/>
          <w:sz w:val="24"/>
          <w:szCs w:val="24"/>
        </w:rPr>
      </w:pPr>
      <w:r w:rsidRPr="003E6545">
        <w:rPr>
          <w:rFonts w:ascii="Calibri" w:hAnsi="Calibri" w:cs="Calibri"/>
          <w:sz w:val="24"/>
          <w:szCs w:val="24"/>
        </w:rPr>
        <w:t xml:space="preserve">Do not maintain Email Distribution Lists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We provide these to you via </w:t>
      </w:r>
      <w:hyperlink r:id="rId8" w:history="1">
        <w:proofErr w:type="spellStart"/>
        <w:r w:rsidRPr="003E6545">
          <w:rPr>
            <w:rStyle w:val="Hyperlink"/>
            <w:rFonts w:ascii="Calibri" w:hAnsi="Calibri" w:cs="Calibri"/>
            <w:color w:val="auto"/>
            <w:sz w:val="24"/>
            <w:szCs w:val="24"/>
          </w:rPr>
          <w:t>Informz</w:t>
        </w:r>
        <w:proofErr w:type="spellEnd"/>
      </w:hyperlink>
      <w:r w:rsidRPr="003E6545">
        <w:rPr>
          <w:rFonts w:ascii="Calibri" w:hAnsi="Calibri" w:cs="Calibri"/>
          <w:sz w:val="24"/>
          <w:szCs w:val="24"/>
        </w:rPr>
        <w:t xml:space="preserve">, and they are updated in daily.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SPE International has the Infrastructure and ability to maintain communication and marketing consent that are in line with laws and regulations. We need to be respectful of member’s choices to opt out of communication from SPE International, SPE Sections and Student Chapters, and this infrastructure allows for that.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It is against policy for Sections and Student Chapters to Maintain an Email Distribution list.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Marketing emails sent without the ability to unsubscribe are against laws and regulations. </w:t>
      </w:r>
    </w:p>
    <w:p w:rsidR="003E6545" w:rsidRPr="003E6545" w:rsidRDefault="003E6545" w:rsidP="003E6545">
      <w:pPr>
        <w:pStyle w:val="ListParagraph"/>
        <w:numPr>
          <w:ilvl w:val="0"/>
          <w:numId w:val="4"/>
        </w:numPr>
        <w:rPr>
          <w:rFonts w:ascii="Calibri" w:hAnsi="Calibri" w:cs="Calibri"/>
          <w:sz w:val="24"/>
          <w:szCs w:val="24"/>
        </w:rPr>
      </w:pPr>
      <w:r w:rsidRPr="003E6545">
        <w:rPr>
          <w:rFonts w:ascii="Calibri" w:hAnsi="Calibri" w:cs="Calibri"/>
          <w:sz w:val="24"/>
          <w:szCs w:val="24"/>
        </w:rPr>
        <w:t>Delete old membership rosters regularly</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Once you’ve used it to find the information you require, it should be deleted, and never stored for longer than necessary.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The information on the reports changes daily, so pull a new one from Membership Builder when you need it. </w:t>
      </w:r>
    </w:p>
    <w:p w:rsidR="003E6545" w:rsidRPr="003E6545" w:rsidRDefault="003E6545" w:rsidP="003E6545">
      <w:pPr>
        <w:pStyle w:val="ListParagraph"/>
        <w:numPr>
          <w:ilvl w:val="0"/>
          <w:numId w:val="4"/>
        </w:numPr>
        <w:rPr>
          <w:rFonts w:ascii="Calibri" w:hAnsi="Calibri" w:cs="Calibri"/>
          <w:sz w:val="24"/>
          <w:szCs w:val="24"/>
        </w:rPr>
      </w:pPr>
      <w:r w:rsidRPr="003E6545">
        <w:rPr>
          <w:rFonts w:ascii="Calibri" w:hAnsi="Calibri" w:cs="Calibri"/>
          <w:sz w:val="24"/>
          <w:szCs w:val="24"/>
        </w:rPr>
        <w:t xml:space="preserve">Do not email membership rosters to board members or external parties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All board members have access to membership builder and can download the same reports. </w:t>
      </w:r>
    </w:p>
    <w:p w:rsidR="003E6545" w:rsidRPr="003E6545" w:rsidRDefault="003E6545" w:rsidP="003E6545">
      <w:pPr>
        <w:pStyle w:val="ListParagraph"/>
        <w:numPr>
          <w:ilvl w:val="0"/>
          <w:numId w:val="4"/>
        </w:numPr>
        <w:rPr>
          <w:rFonts w:ascii="Calibri" w:hAnsi="Calibri" w:cs="Calibri"/>
          <w:sz w:val="24"/>
          <w:szCs w:val="24"/>
        </w:rPr>
      </w:pPr>
      <w:r w:rsidRPr="003E6545">
        <w:rPr>
          <w:rFonts w:ascii="Calibri" w:hAnsi="Calibri" w:cs="Calibri"/>
          <w:sz w:val="24"/>
          <w:szCs w:val="24"/>
        </w:rPr>
        <w:t>Do not retain attendance records for longer than deemed necessary</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Do not maintain event attendance records with email addresses or phone numbers </w:t>
      </w:r>
    </w:p>
    <w:p w:rsidR="003E6545" w:rsidRPr="003E6545" w:rsidRDefault="003E6545" w:rsidP="003E6545">
      <w:pPr>
        <w:pStyle w:val="ListParagraph"/>
        <w:numPr>
          <w:ilvl w:val="0"/>
          <w:numId w:val="4"/>
        </w:numPr>
        <w:rPr>
          <w:rFonts w:ascii="Calibri" w:hAnsi="Calibri" w:cs="Calibri"/>
          <w:sz w:val="24"/>
          <w:szCs w:val="24"/>
        </w:rPr>
      </w:pPr>
      <w:r w:rsidRPr="003E6545">
        <w:rPr>
          <w:rFonts w:ascii="Calibri" w:hAnsi="Calibri" w:cs="Calibri"/>
          <w:sz w:val="24"/>
          <w:szCs w:val="24"/>
        </w:rPr>
        <w:t xml:space="preserve">Do not retain credit card numbers </w:t>
      </w:r>
    </w:p>
    <w:p w:rsidR="003E6545" w:rsidRPr="003E6545" w:rsidRDefault="003E6545" w:rsidP="003E6545">
      <w:pPr>
        <w:pStyle w:val="ListParagraph"/>
        <w:numPr>
          <w:ilvl w:val="1"/>
          <w:numId w:val="4"/>
        </w:numPr>
        <w:rPr>
          <w:rFonts w:ascii="Calibri" w:hAnsi="Calibri" w:cs="Calibri"/>
          <w:sz w:val="24"/>
          <w:szCs w:val="24"/>
        </w:rPr>
      </w:pPr>
      <w:r w:rsidRPr="003E6545">
        <w:rPr>
          <w:rFonts w:ascii="Calibri" w:hAnsi="Calibri" w:cs="Calibri"/>
          <w:sz w:val="24"/>
          <w:szCs w:val="24"/>
        </w:rPr>
        <w:t xml:space="preserve">SPE International does not store any financial information for Members, Sections, or Student Chapters. All information is destroyed after use, and we are fully compliant with PCI protections. Sections and Student Chapters should follow this example. </w:t>
      </w:r>
    </w:p>
    <w:p w:rsidR="00115663" w:rsidRPr="0018361A" w:rsidRDefault="00115663" w:rsidP="003E6545">
      <w:pPr>
        <w:spacing w:line="240" w:lineRule="auto"/>
        <w:contextualSpacing/>
        <w:rPr>
          <w:rFonts w:ascii="Calibri" w:hAnsi="Calibri"/>
          <w:bCs/>
        </w:rPr>
      </w:pPr>
    </w:p>
    <w:sectPr w:rsidR="00115663" w:rsidRPr="0018361A" w:rsidSect="00C94A51">
      <w:headerReference w:type="default" r:id="rId9"/>
      <w:footerReference w:type="default" r:id="rId10"/>
      <w:headerReference w:type="first" r:id="rId11"/>
      <w:footerReference w:type="first" r:id="rId12"/>
      <w:pgSz w:w="12240" w:h="15840" w:code="1"/>
      <w:pgMar w:top="720" w:right="864" w:bottom="403"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BF" w:rsidRDefault="00A005BF">
      <w:pPr>
        <w:spacing w:after="0" w:line="240" w:lineRule="auto"/>
      </w:pPr>
      <w:r>
        <w:separator/>
      </w:r>
    </w:p>
  </w:endnote>
  <w:endnote w:type="continuationSeparator" w:id="0">
    <w:p w:rsidR="00A005BF" w:rsidRDefault="00A0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21"/>
    </w:tblGrid>
    <w:tr w:rsidR="00115663" w:rsidTr="005E1E1E">
      <w:trPr>
        <w:trHeight w:val="20"/>
      </w:trPr>
      <w:tc>
        <w:tcPr>
          <w:tcW w:w="12221" w:type="dxa"/>
          <w:tcBorders>
            <w:top w:val="nil"/>
            <w:left w:val="nil"/>
            <w:bottom w:val="nil"/>
            <w:right w:val="nil"/>
          </w:tcBorders>
        </w:tcPr>
        <w:p w:rsidR="00971EB1" w:rsidRPr="00971EB1" w:rsidRDefault="00971EB1" w:rsidP="00971EB1">
          <w:pPr>
            <w:spacing w:after="0" w:line="240" w:lineRule="auto"/>
            <w:jc w:val="center"/>
            <w:rPr>
              <w:rFonts w:ascii="Calibri" w:eastAsia="Times New Roman" w:hAnsi="Calibri" w:cs="Times New Roman"/>
              <w:b/>
              <w:bCs/>
              <w:color w:val="auto"/>
              <w:sz w:val="28"/>
              <w:szCs w:val="28"/>
            </w:rPr>
          </w:pPr>
          <w:r w:rsidRPr="00971EB1">
            <w:rPr>
              <w:rFonts w:ascii="Calibri" w:eastAsia="Times New Roman" w:hAnsi="Calibri" w:cs="Times New Roman"/>
              <w:b/>
              <w:bCs/>
              <w:color w:val="444444"/>
              <w:sz w:val="28"/>
              <w:szCs w:val="28"/>
            </w:rPr>
            <w:t>For further information visit</w:t>
          </w:r>
          <w:r w:rsidR="00127F25">
            <w:rPr>
              <w:rFonts w:ascii="Calibri" w:eastAsia="Times New Roman" w:hAnsi="Calibri" w:cs="Times New Roman"/>
              <w:b/>
              <w:bCs/>
              <w:color w:val="444444"/>
              <w:sz w:val="28"/>
              <w:szCs w:val="28"/>
            </w:rPr>
            <w:t xml:space="preserve"> </w:t>
          </w:r>
          <w:hyperlink r:id="rId1" w:history="1">
            <w:r w:rsidR="00EF24BA" w:rsidRPr="0020712C">
              <w:rPr>
                <w:rStyle w:val="Hyperlink"/>
                <w:rFonts w:ascii="Calibri" w:eastAsia="Times New Roman" w:hAnsi="Calibri" w:cs="Times New Roman"/>
                <w:b/>
                <w:bCs/>
                <w:sz w:val="28"/>
                <w:szCs w:val="28"/>
              </w:rPr>
              <w:t>www.spe.org/sections</w:t>
            </w:r>
          </w:hyperlink>
          <w:r w:rsidR="00CE0958">
            <w:rPr>
              <w:rFonts w:ascii="Calibri" w:eastAsia="Times New Roman" w:hAnsi="Calibri" w:cs="Times New Roman"/>
              <w:b/>
              <w:bCs/>
              <w:color w:val="auto"/>
              <w:sz w:val="28"/>
              <w:szCs w:val="28"/>
            </w:rPr>
            <w:t xml:space="preserve"> </w:t>
          </w:r>
          <w:r w:rsidRPr="00971EB1">
            <w:rPr>
              <w:rFonts w:ascii="Calibri" w:eastAsia="Times New Roman" w:hAnsi="Calibri" w:cs="Times New Roman"/>
              <w:b/>
              <w:bCs/>
              <w:color w:val="444444"/>
              <w:sz w:val="28"/>
              <w:szCs w:val="28"/>
            </w:rPr>
            <w:t>or email </w:t>
          </w:r>
          <w:hyperlink r:id="rId2" w:history="1">
            <w:r w:rsidR="00CE0958" w:rsidRPr="0020712C">
              <w:rPr>
                <w:rStyle w:val="Hyperlink"/>
                <w:rFonts w:ascii="Calibri" w:eastAsia="Times New Roman" w:hAnsi="Calibri" w:cs="Times New Roman"/>
                <w:b/>
                <w:bCs/>
                <w:sz w:val="28"/>
                <w:szCs w:val="28"/>
              </w:rPr>
              <w:t>sections@spe.org</w:t>
            </w:r>
          </w:hyperlink>
        </w:p>
        <w:p w:rsidR="00115663" w:rsidRDefault="00115663" w:rsidP="00B527E9">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rsidTr="002E1A5A">
      <w:trPr>
        <w:trHeight w:val="1362"/>
      </w:trPr>
      <w:tc>
        <w:tcPr>
          <w:tcW w:w="12275" w:type="dxa"/>
          <w:tcBorders>
            <w:top w:val="nil"/>
            <w:left w:val="nil"/>
            <w:bottom w:val="nil"/>
            <w:right w:val="nil"/>
          </w:tcBorders>
        </w:tcPr>
        <w:p w:rsidR="002E1A5A" w:rsidRDefault="002E1A5A" w:rsidP="002E1A5A">
          <w:pPr>
            <w:pStyle w:val="Footer"/>
            <w:spacing w:after="0"/>
          </w:pPr>
          <w:r>
            <w:rPr>
              <w:noProof/>
              <w:lang w:val="en-GB" w:eastAsia="en-GB"/>
            </w:rPr>
            <w:drawing>
              <wp:inline distT="0" distB="0" distL="0" distR="0" wp14:anchorId="4DE04254" wp14:editId="2F5D7A64">
                <wp:extent cx="8551368" cy="976184"/>
                <wp:effectExtent l="0" t="0" r="2540" b="0"/>
                <wp:docPr id="23" name="Picture 23"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BF" w:rsidRDefault="00A005BF">
      <w:pPr>
        <w:spacing w:after="0" w:line="240" w:lineRule="auto"/>
      </w:pPr>
      <w:r>
        <w:separator/>
      </w:r>
    </w:p>
  </w:footnote>
  <w:footnote w:type="continuationSeparator" w:id="0">
    <w:p w:rsidR="00A005BF" w:rsidRDefault="00A0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58"/>
    </w:tblGrid>
    <w:tr w:rsidR="00115663" w:rsidTr="000A28E8">
      <w:trPr>
        <w:trHeight w:val="1422"/>
      </w:trPr>
      <w:tc>
        <w:tcPr>
          <w:tcW w:w="12201" w:type="dxa"/>
          <w:tcBorders>
            <w:top w:val="nil"/>
            <w:left w:val="nil"/>
            <w:bottom w:val="nil"/>
            <w:right w:val="nil"/>
          </w:tcBorders>
        </w:tcPr>
        <w:p w:rsidR="00115663" w:rsidRDefault="00AE4DCA" w:rsidP="00115663">
          <w:pPr>
            <w:pStyle w:val="Header"/>
          </w:pPr>
          <w:r>
            <w:rPr>
              <w:noProof/>
              <w:lang w:val="en-GB" w:eastAsia="en-GB"/>
            </w:rPr>
            <w:drawing>
              <wp:inline distT="0" distB="0" distL="0" distR="0" wp14:anchorId="760282A4" wp14:editId="3A480491">
                <wp:extent cx="7784044"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lue_Header_Section_Officers.png"/>
                        <pic:cNvPicPr/>
                      </pic:nvPicPr>
                      <pic:blipFill>
                        <a:blip r:embed="rId1">
                          <a:extLst>
                            <a:ext uri="{28A0092B-C50C-407E-A947-70E740481C1C}">
                              <a14:useLocalDpi xmlns:a14="http://schemas.microsoft.com/office/drawing/2010/main" val="0"/>
                            </a:ext>
                          </a:extLst>
                        </a:blip>
                        <a:stretch>
                          <a:fillRect/>
                        </a:stretch>
                      </pic:blipFill>
                      <pic:spPr>
                        <a:xfrm>
                          <a:off x="0" y="0"/>
                          <a:ext cx="7785415" cy="1145742"/>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05" w:rsidRDefault="007E3A9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543"/>
    <w:multiLevelType w:val="hybridMultilevel"/>
    <w:tmpl w:val="380A2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97F6A"/>
    <w:multiLevelType w:val="hybridMultilevel"/>
    <w:tmpl w:val="3162E9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41FF9"/>
    <w:multiLevelType w:val="hybridMultilevel"/>
    <w:tmpl w:val="92EC13F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403A3AC0"/>
    <w:multiLevelType w:val="hybridMultilevel"/>
    <w:tmpl w:val="3752D670"/>
    <w:lvl w:ilvl="0" w:tplc="14EC0046">
      <w:start w:val="1"/>
      <w:numFmt w:val="bullet"/>
      <w:lvlText w:val=""/>
      <w:lvlJc w:val="left"/>
      <w:pPr>
        <w:ind w:left="720" w:hanging="360"/>
      </w:pPr>
      <w:rPr>
        <w:rFonts w:ascii="Symbol" w:hAnsi="Symbol" w:hint="default"/>
        <w:color w:val="0D4C9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45"/>
    <w:rsid w:val="00023FB6"/>
    <w:rsid w:val="00035198"/>
    <w:rsid w:val="000400F2"/>
    <w:rsid w:val="0006322D"/>
    <w:rsid w:val="00083D76"/>
    <w:rsid w:val="0009494A"/>
    <w:rsid w:val="000A16AC"/>
    <w:rsid w:val="000A28E8"/>
    <w:rsid w:val="00110ECA"/>
    <w:rsid w:val="00112C9F"/>
    <w:rsid w:val="00115663"/>
    <w:rsid w:val="00127F25"/>
    <w:rsid w:val="001724FE"/>
    <w:rsid w:val="00180130"/>
    <w:rsid w:val="0018361A"/>
    <w:rsid w:val="00213EAB"/>
    <w:rsid w:val="002812CE"/>
    <w:rsid w:val="002E1A5A"/>
    <w:rsid w:val="00312210"/>
    <w:rsid w:val="00316486"/>
    <w:rsid w:val="00322FBC"/>
    <w:rsid w:val="0032533E"/>
    <w:rsid w:val="003D0A83"/>
    <w:rsid w:val="003E6545"/>
    <w:rsid w:val="003F3DEF"/>
    <w:rsid w:val="00462B54"/>
    <w:rsid w:val="004C595E"/>
    <w:rsid w:val="00557D22"/>
    <w:rsid w:val="00576382"/>
    <w:rsid w:val="005E0650"/>
    <w:rsid w:val="005E1E1E"/>
    <w:rsid w:val="00620729"/>
    <w:rsid w:val="00632171"/>
    <w:rsid w:val="006746A1"/>
    <w:rsid w:val="006C3833"/>
    <w:rsid w:val="00767F3D"/>
    <w:rsid w:val="007D1BBC"/>
    <w:rsid w:val="007E3A99"/>
    <w:rsid w:val="00806AF1"/>
    <w:rsid w:val="0082424E"/>
    <w:rsid w:val="008939F3"/>
    <w:rsid w:val="008D074F"/>
    <w:rsid w:val="00971EB1"/>
    <w:rsid w:val="00976C13"/>
    <w:rsid w:val="00A005BF"/>
    <w:rsid w:val="00A16DF8"/>
    <w:rsid w:val="00A65DCA"/>
    <w:rsid w:val="00AE4DCA"/>
    <w:rsid w:val="00B15F29"/>
    <w:rsid w:val="00B22EC4"/>
    <w:rsid w:val="00B527E9"/>
    <w:rsid w:val="00BE2A56"/>
    <w:rsid w:val="00BF16F4"/>
    <w:rsid w:val="00C94A51"/>
    <w:rsid w:val="00CD7046"/>
    <w:rsid w:val="00CE0958"/>
    <w:rsid w:val="00CE432F"/>
    <w:rsid w:val="00DA1793"/>
    <w:rsid w:val="00E52C8C"/>
    <w:rsid w:val="00E6664B"/>
    <w:rsid w:val="00E71405"/>
    <w:rsid w:val="00E90067"/>
    <w:rsid w:val="00EF24BA"/>
    <w:rsid w:val="00F50BC0"/>
    <w:rsid w:val="00F6594E"/>
    <w:rsid w:val="00FC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05C6F-787D-426F-B3E6-9ECA55A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5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9"/>
    <w:unhideWhenUsed/>
    <w:qFormat/>
    <w:rsid w:val="002E1A5A"/>
    <w:pPr>
      <w:keepNext/>
      <w:keepLines/>
      <w:spacing w:before="40" w:after="0"/>
      <w:outlineLvl w:val="1"/>
    </w:pPr>
    <w:rPr>
      <w:rFonts w:asciiTheme="majorHAnsi" w:eastAsiaTheme="majorEastAsia" w:hAnsiTheme="majorHAnsi" w:cstheme="majorBidi"/>
      <w:color w:val="AEBD2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2E1A5A"/>
    <w:pPr>
      <w:spacing w:after="18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pPr>
      <w:spacing w:before="800" w:after="180"/>
    </w:pPr>
    <w:rPr>
      <w:rFonts w:eastAsiaTheme="minorEastAsia"/>
      <w:bCs/>
      <w:szCs w:val="18"/>
    </w:rPr>
  </w:style>
  <w:style w:type="character" w:customStyle="1" w:styleId="SalutationChar">
    <w:name w:val="Salutation Char"/>
    <w:basedOn w:val="DefaultParagraphFont"/>
    <w:link w:val="Salutation"/>
    <w:uiPriority w:val="4"/>
    <w:rPr>
      <w:rFonts w:eastAsiaTheme="minorEastAsia"/>
      <w:bCs/>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sid w:val="002E1A5A"/>
    <w:rPr>
      <w:rFonts w:asciiTheme="majorHAnsi" w:eastAsiaTheme="majorEastAsia" w:hAnsiTheme="majorHAnsi" w:cstheme="majorBidi"/>
      <w:color w:val="AEBD23" w:themeColor="accent1" w:themeShade="BF"/>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DCA"/>
    <w:pPr>
      <w:ind w:left="720"/>
      <w:contextualSpacing/>
    </w:pPr>
    <w:rPr>
      <w:color w:val="auto"/>
      <w:sz w:val="22"/>
      <w:szCs w:val="22"/>
    </w:rPr>
  </w:style>
  <w:style w:type="character" w:styleId="Hyperlink">
    <w:name w:val="Hyperlink"/>
    <w:basedOn w:val="DefaultParagraphFont"/>
    <w:uiPriority w:val="99"/>
    <w:unhideWhenUsed/>
    <w:rsid w:val="00A65DCA"/>
    <w:rPr>
      <w:color w:val="9BBB59" w:themeColor="hyperlink"/>
      <w:u w:val="single"/>
    </w:rPr>
  </w:style>
  <w:style w:type="character" w:styleId="FollowedHyperlink">
    <w:name w:val="FollowedHyperlink"/>
    <w:basedOn w:val="DefaultParagraphFont"/>
    <w:uiPriority w:val="99"/>
    <w:semiHidden/>
    <w:unhideWhenUsed/>
    <w:rsid w:val="00A65DCA"/>
    <w:rPr>
      <w:color w:val="9BBB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6425">
      <w:bodyDiv w:val="1"/>
      <w:marLeft w:val="0"/>
      <w:marRight w:val="0"/>
      <w:marTop w:val="0"/>
      <w:marBottom w:val="0"/>
      <w:divBdr>
        <w:top w:val="none" w:sz="0" w:space="0" w:color="auto"/>
        <w:left w:val="none" w:sz="0" w:space="0" w:color="auto"/>
        <w:bottom w:val="none" w:sz="0" w:space="0" w:color="auto"/>
        <w:right w:val="none" w:sz="0" w:space="0" w:color="auto"/>
      </w:divBdr>
    </w:div>
    <w:div w:id="7545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appssecured/login/servlet/TpSSOServlet?resource=inform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org/appssecured/login/servlet/LoginServlet?ERIGHTS_TARGET=http://membershipbuilder.spe.org/ros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tions@spe.org" TargetMode="External"/><Relationship Id="rId1" Type="http://schemas.openxmlformats.org/officeDocument/2006/relationships/hyperlink" Target="http://www.spe.org/se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van Klaveren</dc:creator>
  <cp:keywords/>
  <dc:description/>
  <cp:lastModifiedBy>Kirsty Willis</cp:lastModifiedBy>
  <cp:revision>1</cp:revision>
  <cp:lastPrinted>2018-06-14T16:19:00Z</cp:lastPrinted>
  <dcterms:created xsi:type="dcterms:W3CDTF">2019-02-28T11:05:00Z</dcterms:created>
  <dcterms:modified xsi:type="dcterms:W3CDTF">2019-02-28T11:05:00Z</dcterms:modified>
</cp:coreProperties>
</file>