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CA4FF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000000"/>
          <w:sz w:val="34"/>
          <w:szCs w:val="3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34"/>
          <w:szCs w:val="34"/>
        </w:rPr>
        <w:t>Glossary</w:t>
      </w:r>
    </w:p>
    <w:p w14:paraId="0F22B770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This list of definitions is provided to help members understand the terms used in the SPE International Awards Program. </w:t>
      </w:r>
    </w:p>
    <w:p w14:paraId="41E3ED46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Award Committee or Subcommittee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Group of SPE members who volunteer to act as judges tasked with  </w:t>
      </w:r>
    </w:p>
    <w:p w14:paraId="60126900" w14:textId="77777777" w:rsidR="000718EA" w:rsidRPr="00E12A59" w:rsidRDefault="000718EA" w:rsidP="00071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Reviewing all eligible nominations in the candidate pool  </w:t>
      </w:r>
    </w:p>
    <w:p w14:paraId="3D530549" w14:textId="77777777" w:rsidR="000718EA" w:rsidRPr="00E12A59" w:rsidRDefault="000718EA" w:rsidP="00071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Deliberating and coming to a consensus on a recommendation </w:t>
      </w:r>
    </w:p>
    <w:p w14:paraId="34FE84A8" w14:textId="77777777" w:rsidR="000718EA" w:rsidRPr="00E12A59" w:rsidRDefault="000718EA" w:rsidP="000718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Recommending a recipient to either the Regional Director or the SPE Board of Directors. </w:t>
      </w:r>
    </w:p>
    <w:p w14:paraId="2333F148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International Award committee members serve 3-year terms, are appointed by the SPE President-elect. They have expertise in the award discipline have the best interest of SPE in mind, and are diverse, mirroring the SPE membership </w:t>
      </w:r>
    </w:p>
    <w:p w14:paraId="1ABC1F3D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Regional Award committees serve a 1-year term, are appointed by the Regional Director, and are chosen from a broad selection of sections in the region. </w:t>
      </w:r>
    </w:p>
    <w:p w14:paraId="3E0736F6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Candidate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 person who is nominated by a colleague for an SPE award. Same as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nominee. </w:t>
      </w:r>
    </w:p>
    <w:p w14:paraId="35D44001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Candidate Pool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Group of all eligible candidates for an award. </w:t>
      </w:r>
    </w:p>
    <w:p w14:paraId="2AA82887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Confidential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Not available to the general membership. Restricted because of sensitive and/or personal information. Access to SPE international award nomination materials is limited to the nominator, award committees, SPE Board of Directors, and staff. </w:t>
      </w:r>
    </w:p>
    <w:p w14:paraId="1027856F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Contest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Friendly competition between candidates for an award. </w:t>
      </w:r>
    </w:p>
    <w:p w14:paraId="5736A440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Criteria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Award standards a candidate must meet. The elements upon which the award committee bases it judgment and recommendation. </w:t>
      </w:r>
    </w:p>
    <w:p w14:paraId="66481C8A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Election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 The formal approval by the Regional Director (regional awards) or Board of Directors (international awards) of the person recommended for an award (</w:t>
      </w:r>
      <w:proofErr w:type="gramStart"/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i.e.</w:t>
      </w:r>
      <w:proofErr w:type="gramEnd"/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 xml:space="preserve"> the recipient or winner) by an award committee. </w:t>
      </w:r>
    </w:p>
    <w:p w14:paraId="777BCC8C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lastRenderedPageBreak/>
        <w:t>Endorsement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Letter of recommendation. Letter of support. Approving testimony. A colleague’s letter supporting or vouching for the candidate’s qualification for the award. </w:t>
      </w:r>
    </w:p>
    <w:p w14:paraId="6362FEB5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International Awards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Awards that acknowledge significant member accomplishments of an international scope. </w:t>
      </w:r>
    </w:p>
    <w:p w14:paraId="67D25CAA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Member in Good Standing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Paid SPE Member. Unpaid members may be candidates based on delayed corporate bulk membership payment submissions.  </w:t>
      </w:r>
    </w:p>
    <w:p w14:paraId="0C39C9B7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Nominate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To propose or formally submit a person as a candidate for an award. </w:t>
      </w:r>
    </w:p>
    <w:p w14:paraId="1FFC30CC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Nomination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(v) The action of proposing a person as a candidate for election for an award or (n) the forms and attachments nominating a person. </w:t>
      </w:r>
    </w:p>
    <w:p w14:paraId="28E8C83E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Nomination Packet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 completed nomination form and the attachments. </w:t>
      </w:r>
    </w:p>
    <w:p w14:paraId="0556CCF7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Nominator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 person who nominates a candidate for an award. </w:t>
      </w:r>
    </w:p>
    <w:p w14:paraId="6E01DC6B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Nominee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 person named as the potential recipient of an award. Same as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candidate. </w:t>
      </w:r>
    </w:p>
    <w:p w14:paraId="5871FA04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Professional Member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SPE member who is not a student member. </w:t>
      </w:r>
    </w:p>
    <w:p w14:paraId="2791631E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Qualified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Possessing the qualities necessary to be a candidate for an award. </w:t>
      </w:r>
    </w:p>
    <w:p w14:paraId="0F942C73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Recipient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The person selected by the award committee and approved by the Board of Directors or Regional Director to receive the award. The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winner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of the award. </w:t>
      </w:r>
    </w:p>
    <w:p w14:paraId="4279F43F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Regional Awards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 xml:space="preserve">Awards that acknowledge significant member accomplishments of a local or regional scope. Because recipients of Regional Awards may move into consideration for the </w:t>
      </w:r>
      <w:proofErr w:type="gramStart"/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International</w:t>
      </w:r>
      <w:proofErr w:type="gramEnd"/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 xml:space="preserve"> equivalent in the following year, the quality of the documentation for regional nominations should meet the same high standards. </w:t>
      </w:r>
    </w:p>
    <w:p w14:paraId="5B9BDEC4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Sanctioned Countries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Individuals “ordinarily resident in” sanctioned countries, as defined by the EU and US Governments, are not eligible to participate in SPE Award Programs. Go </w:t>
      </w:r>
      <w:hyperlink r:id="rId5" w:tgtFrame="_blank" w:history="1">
        <w:r w:rsidRPr="00E12A59">
          <w:rPr>
            <w:rFonts w:ascii="Open Sans" w:eastAsia="Times New Roman" w:hAnsi="Open Sans" w:cs="Open Sans"/>
            <w:color w:val="2965A8"/>
            <w:sz w:val="24"/>
            <w:szCs w:val="24"/>
            <w:u w:val="single"/>
          </w:rPr>
          <w:t>HERE</w:t>
        </w:r>
      </w:hyperlink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to learn more. </w:t>
      </w:r>
    </w:p>
    <w:p w14:paraId="05BDE2CB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Selection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The choosing of a person for an award by the award committee. The name of the selected person is recommended to the Board of Directors for approval. </w:t>
      </w:r>
    </w:p>
    <w:p w14:paraId="60B23433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Student Member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 pre-professional student chapter member currently enrolled as a university student pursuing an undergraduate or graduate degree in petroleum engineering or a related field. Student members cannot be nominated for SPE Awards. </w:t>
      </w:r>
    </w:p>
    <w:p w14:paraId="2F897A0C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Winner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The person selected by the award committee who is recommended to the board and approved to receive the award. Same as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recipient. </w:t>
      </w:r>
    </w:p>
    <w:p w14:paraId="481BD8F4" w14:textId="77777777" w:rsidR="000718EA" w:rsidRPr="00E12A59" w:rsidRDefault="000718EA" w:rsidP="000718EA">
      <w:pPr>
        <w:shd w:val="clear" w:color="auto" w:fill="FFFFFF"/>
        <w:spacing w:after="100" w:afterAutospacing="1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E12A5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Young Professional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 –</w:t>
      </w:r>
      <w:r w:rsidRPr="00E12A59">
        <w:rPr>
          <w:rFonts w:ascii="Arial" w:eastAsia="Times New Roman" w:hAnsi="Arial" w:cs="Arial"/>
          <w:color w:val="000000"/>
          <w:sz w:val="24"/>
          <w:szCs w:val="24"/>
        </w:rPr>
        <w:t> </w:t>
      </w:r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 xml:space="preserve">SPE professional member </w:t>
      </w:r>
      <w:proofErr w:type="gramStart"/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>age</w:t>
      </w:r>
      <w:proofErr w:type="gramEnd"/>
      <w:r w:rsidRPr="00E12A59">
        <w:rPr>
          <w:rFonts w:ascii="Open Sans" w:eastAsia="Times New Roman" w:hAnsi="Open Sans" w:cs="Open Sans"/>
          <w:color w:val="000000"/>
          <w:sz w:val="24"/>
          <w:szCs w:val="24"/>
        </w:rPr>
        <w:t xml:space="preserve"> 35 and under. </w:t>
      </w:r>
    </w:p>
    <w:p w14:paraId="78E5DA0C" w14:textId="77777777" w:rsidR="00EF3915" w:rsidRDefault="00EF3915"/>
    <w:sectPr w:rsidR="00EF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115D8"/>
    <w:multiLevelType w:val="multilevel"/>
    <w:tmpl w:val="4F3A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844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8EA"/>
    <w:rsid w:val="000718EA"/>
    <w:rsid w:val="00E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ABED"/>
  <w15:chartTrackingRefBased/>
  <w15:docId w15:val="{40EAC4A7-D949-423A-AF6C-9502F9ED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pe.org/en/about/la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3418</Characters>
  <Application>Microsoft Office Word</Application>
  <DocSecurity>0</DocSecurity>
  <Lines>28</Lines>
  <Paragraphs>8</Paragraphs>
  <ScaleCrop>false</ScaleCrop>
  <Company>Society Of Petroleum Engineers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Davis</dc:creator>
  <cp:keywords/>
  <dc:description/>
  <cp:lastModifiedBy>Lori Davis</cp:lastModifiedBy>
  <cp:revision>1</cp:revision>
  <dcterms:created xsi:type="dcterms:W3CDTF">2022-11-07T16:18:00Z</dcterms:created>
  <dcterms:modified xsi:type="dcterms:W3CDTF">2022-11-07T16:18:00Z</dcterms:modified>
</cp:coreProperties>
</file>